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sz w:val="36"/>
          <w:szCs w:val="44"/>
        </w:rPr>
      </w:pPr>
      <w:r>
        <w:rPr>
          <w:rFonts w:hint="eastAsia" w:ascii="方正小标宋简体" w:hAnsi="宋体" w:eastAsia="方正小标宋简体" w:cs="Times New Roman"/>
          <w:sz w:val="36"/>
          <w:szCs w:val="44"/>
        </w:rPr>
        <w:t>关于组织开展2020年同济大学“扬帆奖”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44"/>
        </w:rPr>
      </w:pPr>
      <w:r>
        <w:rPr>
          <w:rFonts w:hint="eastAsia" w:ascii="方正小标宋简体" w:hAnsi="宋体" w:eastAsia="方正小标宋简体" w:cs="Times New Roman"/>
          <w:sz w:val="36"/>
          <w:szCs w:val="44"/>
        </w:rPr>
        <w:t>评选与表彰工作的通知</w:t>
      </w:r>
    </w:p>
    <w:p/>
    <w:p>
      <w:pPr>
        <w:spacing w:line="584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为深入贯彻落实党中央、国务院相关文件要求，积极引导毕业生赴基层、重点领域就业创业，支持毕业生在服务国家与奉献社会的就业创业过程中，获得个人的成长与成才，现结合学校实际情况，根据《关于印发〈同济大学“扬帆奖”评选办法〉的通知》（同济学〔2020〕8号），组织开展2020年同济大学“扬帆奖”评选与表彰工作。</w:t>
      </w:r>
    </w:p>
    <w:p>
      <w:pPr>
        <w:pStyle w:val="5"/>
        <w:numPr>
          <w:ilvl w:val="0"/>
          <w:numId w:val="1"/>
        </w:numPr>
        <w:spacing w:line="584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总体目标</w:t>
      </w:r>
    </w:p>
    <w:p>
      <w:pPr>
        <w:spacing w:line="584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高校毕业生是国家宝贵的人才资源，是现代化建设的重要生力军。习近平总书记在全国高校思想政治工作会议中提出“要鼓励高校学生把视线投向国家发展的航程，把汗水洒在艰苦创业的舞台，到基层去、到西部去、到祖国最需要的地方去，做成一番事业、做好一番事业。”</w:t>
      </w:r>
    </w:p>
    <w:p>
      <w:pPr>
        <w:spacing w:line="584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同济大学坚定不移地贯彻落实党中央、国务院的决策部署，以强化服务国家战略为导向、结合学校人才培养要求、推动毕业生更高质量就业与创业为工作目标，鼓励毕业生赴基层、西部、“四重”领域（重点地区、重大工程、 重大项目、重要领域）建功立业，推动区域协调发展，服务经济社会发展。</w:t>
      </w:r>
    </w:p>
    <w:p>
      <w:pPr>
        <w:pStyle w:val="4"/>
        <w:numPr>
          <w:ilvl w:val="0"/>
          <w:numId w:val="1"/>
        </w:numPr>
        <w:spacing w:line="584" w:lineRule="exact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申报条件</w:t>
      </w:r>
    </w:p>
    <w:p>
      <w:pPr>
        <w:spacing w:line="584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凡符合以下条件的同济大学2020届毕业生（定向就业除外），均可依据评选办法申请奖励：</w:t>
      </w:r>
    </w:p>
    <w:p>
      <w:pPr>
        <w:pStyle w:val="4"/>
        <w:widowControl/>
        <w:numPr>
          <w:ilvl w:val="0"/>
          <w:numId w:val="2"/>
        </w:numPr>
        <w:spacing w:line="584" w:lineRule="exact"/>
        <w:ind w:left="709" w:hanging="709" w:firstLineChars="0"/>
        <w:jc w:val="left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拥护中国共产党的领导，热爱祖国，遵守宪法和法律；</w:t>
      </w:r>
    </w:p>
    <w:p>
      <w:pPr>
        <w:pStyle w:val="4"/>
        <w:widowControl/>
        <w:numPr>
          <w:ilvl w:val="0"/>
          <w:numId w:val="2"/>
        </w:numPr>
        <w:spacing w:line="584" w:lineRule="exact"/>
        <w:ind w:left="709" w:hanging="709" w:firstLineChars="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在校期间遵守学校各项规章制度，认真学习，诚实守信，道德品质良好，未受过任何处分；</w:t>
      </w:r>
    </w:p>
    <w:p>
      <w:pPr>
        <w:pStyle w:val="4"/>
        <w:widowControl/>
        <w:numPr>
          <w:ilvl w:val="0"/>
          <w:numId w:val="2"/>
        </w:numPr>
        <w:spacing w:line="584" w:lineRule="exact"/>
        <w:ind w:left="709" w:hanging="709" w:firstLineChars="0"/>
        <w:jc w:val="left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自愿到基层单位或学校重点引导单位工作，并已完成就业协议的鉴证；</w:t>
      </w:r>
    </w:p>
    <w:p>
      <w:pPr>
        <w:pStyle w:val="4"/>
        <w:numPr>
          <w:ilvl w:val="0"/>
          <w:numId w:val="2"/>
        </w:numPr>
        <w:spacing w:line="584" w:lineRule="exact"/>
        <w:ind w:left="709" w:hanging="709" w:firstLineChars="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经学院评审推荐；</w:t>
      </w:r>
    </w:p>
    <w:p>
      <w:pPr>
        <w:pStyle w:val="4"/>
        <w:numPr>
          <w:ilvl w:val="0"/>
          <w:numId w:val="2"/>
        </w:numPr>
        <w:spacing w:line="584" w:lineRule="exact"/>
        <w:ind w:left="709" w:hanging="709" w:firstLineChars="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参评人需符合以下至少一种就业情况：</w:t>
      </w:r>
    </w:p>
    <w:p>
      <w:pPr>
        <w:pStyle w:val="4"/>
        <w:spacing w:line="584" w:lineRule="exact"/>
        <w:ind w:left="709" w:firstLine="0" w:firstLineChars="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1.赴基层单位就业（见附件2）；</w:t>
      </w:r>
    </w:p>
    <w:p>
      <w:pPr>
        <w:pStyle w:val="4"/>
        <w:spacing w:line="584" w:lineRule="exact"/>
        <w:ind w:left="709" w:firstLine="0" w:firstLineChars="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2.在同济大学“青松计划”范围内就业创业（见附件3）；</w:t>
      </w:r>
    </w:p>
    <w:p>
      <w:pPr>
        <w:pStyle w:val="4"/>
        <w:spacing w:line="584" w:lineRule="exact"/>
        <w:ind w:left="709" w:firstLine="0" w:firstLineChars="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3.选调生；</w:t>
      </w:r>
    </w:p>
    <w:p>
      <w:pPr>
        <w:pStyle w:val="4"/>
        <w:spacing w:line="584" w:lineRule="exact"/>
        <w:ind w:left="709" w:firstLine="0" w:firstLineChars="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4.在就业创业过程中具有突出影响力。</w:t>
      </w:r>
    </w:p>
    <w:p>
      <w:pPr>
        <w:pStyle w:val="4"/>
        <w:numPr>
          <w:ilvl w:val="0"/>
          <w:numId w:val="1"/>
        </w:numPr>
        <w:spacing w:line="584" w:lineRule="exact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奖励额度及奖励名额</w:t>
      </w:r>
    </w:p>
    <w:p>
      <w:pPr>
        <w:spacing w:line="584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“扬帆奖”分为特等奖、一等奖、二等奖、三等奖，其中：</w:t>
      </w:r>
    </w:p>
    <w:p>
      <w:pPr>
        <w:spacing w:line="584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特等奖每人奖励20000元，原则上不超过15名；</w:t>
      </w:r>
    </w:p>
    <w:p>
      <w:pPr>
        <w:spacing w:line="584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一等奖每人奖励10000元，原则上不超过30名；</w:t>
      </w:r>
    </w:p>
    <w:p>
      <w:pPr>
        <w:spacing w:line="584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二等奖每人奖励5000元，原则上不超过60名；</w:t>
      </w:r>
    </w:p>
    <w:p>
      <w:pPr>
        <w:spacing w:line="584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三等奖每人奖励3000元，原则上不超过100名。</w:t>
      </w:r>
    </w:p>
    <w:p>
      <w:pPr>
        <w:pStyle w:val="4"/>
        <w:numPr>
          <w:ilvl w:val="0"/>
          <w:numId w:val="1"/>
        </w:numPr>
        <w:spacing w:line="584" w:lineRule="exact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评选流程与时间安排</w:t>
      </w:r>
    </w:p>
    <w:p>
      <w:pPr>
        <w:numPr>
          <w:ilvl w:val="0"/>
          <w:numId w:val="3"/>
        </w:numPr>
        <w:spacing w:line="584" w:lineRule="exact"/>
        <w:ind w:left="709" w:hanging="709"/>
        <w:rPr>
          <w:rFonts w:ascii="仿宋_GB2312" w:hAnsi="宋体" w:eastAsia="仿宋_GB2312"/>
          <w:b/>
          <w:bCs/>
          <w:color w:val="FF000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</w:rPr>
        <w:t>6月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</w:rPr>
        <w:t>日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  <w:lang w:val="en-US" w:eastAsia="zh-CN"/>
        </w:rPr>
        <w:t>17:00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</w:rPr>
        <w:t>前，</w:t>
      </w:r>
      <w:r>
        <w:rPr>
          <w:rFonts w:ascii="仿宋_GB2312" w:hAnsi="宋体" w:eastAsia="仿宋_GB2312"/>
          <w:b/>
          <w:bCs/>
          <w:color w:val="FF0000"/>
          <w:sz w:val="28"/>
          <w:szCs w:val="32"/>
          <w:highlight w:val="none"/>
        </w:rPr>
        <w:t>符合条件的毕业生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</w:rPr>
        <w:t>自愿</w:t>
      </w:r>
      <w:r>
        <w:rPr>
          <w:rFonts w:ascii="仿宋_GB2312" w:hAnsi="宋体" w:eastAsia="仿宋_GB2312"/>
          <w:b/>
          <w:bCs/>
          <w:color w:val="FF0000"/>
          <w:sz w:val="28"/>
          <w:szCs w:val="32"/>
          <w:highlight w:val="none"/>
        </w:rPr>
        <w:t>填写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</w:rPr>
        <w:t>电子版</w:t>
      </w:r>
      <w:r>
        <w:rPr>
          <w:rFonts w:ascii="仿宋_GB2312" w:hAnsi="宋体" w:eastAsia="仿宋_GB2312"/>
          <w:b/>
          <w:bCs/>
          <w:color w:val="FF0000"/>
          <w:sz w:val="28"/>
          <w:szCs w:val="32"/>
          <w:highlight w:val="none"/>
        </w:rPr>
        <w:t>申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</w:rPr>
        <w:t>请</w:t>
      </w:r>
      <w:r>
        <w:rPr>
          <w:rFonts w:ascii="仿宋_GB2312" w:hAnsi="宋体" w:eastAsia="仿宋_GB2312"/>
          <w:b/>
          <w:bCs/>
          <w:color w:val="FF0000"/>
          <w:sz w:val="28"/>
          <w:szCs w:val="32"/>
          <w:highlight w:val="none"/>
        </w:rPr>
        <w:t>表（见附件），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</w:rPr>
        <w:t>并附个人学习生活照一张（JPG格式，16：9比例，大于2M像素）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  <w:lang w:eastAsia="zh-CN"/>
        </w:rPr>
        <w:t>发送到邮箱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  <w:lang w:val="en-US" w:eastAsia="zh-CN"/>
        </w:rPr>
        <w:t>tongjiwgy@tongji.edu.cn,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</w:rPr>
        <w:t>提交所在学院进行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color w:val="FF0000"/>
          <w:sz w:val="28"/>
          <w:szCs w:val="32"/>
          <w:highlight w:val="none"/>
        </w:rPr>
        <w:t>初审；</w:t>
      </w:r>
    </w:p>
    <w:p>
      <w:pPr>
        <w:numPr>
          <w:ilvl w:val="0"/>
          <w:numId w:val="3"/>
        </w:numPr>
        <w:spacing w:line="584" w:lineRule="exact"/>
        <w:ind w:left="709" w:hanging="70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6月16日前，各学院评定推荐人选，并完成学院公示三日，公示无异议后，确定学院推荐名单；申请材料及推荐名单汇总表以学院为单位汇总，电子版发送至jyzx@tongji.edu.cn；</w:t>
      </w:r>
    </w:p>
    <w:p>
      <w:pPr>
        <w:numPr>
          <w:ilvl w:val="0"/>
          <w:numId w:val="3"/>
        </w:numPr>
        <w:spacing w:line="584" w:lineRule="exact"/>
        <w:ind w:left="709" w:hanging="70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6月17日-6月22日，学生就业指导中心组织终审小组，评定等级；</w:t>
      </w:r>
    </w:p>
    <w:p>
      <w:pPr>
        <w:numPr>
          <w:ilvl w:val="0"/>
          <w:numId w:val="3"/>
        </w:numPr>
        <w:spacing w:line="584" w:lineRule="exact"/>
        <w:ind w:left="709" w:hanging="70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6月23日-6月29日，评审结果经学校公示七日后</w:t>
      </w:r>
      <w:r>
        <w:rPr>
          <w:rFonts w:ascii="仿宋_GB2312" w:hAnsi="宋体" w:eastAsia="仿宋_GB2312"/>
          <w:sz w:val="28"/>
          <w:szCs w:val="32"/>
        </w:rPr>
        <w:t>，确定最终获奖名单</w:t>
      </w:r>
      <w:r>
        <w:rPr>
          <w:rFonts w:hint="eastAsia" w:ascii="仿宋_GB2312" w:hAnsi="宋体" w:eastAsia="仿宋_GB2312"/>
          <w:sz w:val="28"/>
          <w:szCs w:val="32"/>
        </w:rPr>
        <w:t>；</w:t>
      </w:r>
    </w:p>
    <w:p>
      <w:pPr>
        <w:numPr>
          <w:ilvl w:val="0"/>
          <w:numId w:val="3"/>
        </w:numPr>
        <w:spacing w:line="584" w:lineRule="exact"/>
        <w:ind w:left="709" w:hanging="70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6月30日-7月3日，开展荣誉</w:t>
      </w:r>
      <w:r>
        <w:rPr>
          <w:rFonts w:ascii="仿宋_GB2312" w:hAnsi="宋体" w:eastAsia="仿宋_GB2312"/>
          <w:sz w:val="28"/>
          <w:szCs w:val="32"/>
        </w:rPr>
        <w:t>表彰</w:t>
      </w:r>
      <w:r>
        <w:rPr>
          <w:rFonts w:hint="eastAsia" w:ascii="仿宋_GB2312" w:hAnsi="宋体" w:eastAsia="仿宋_GB2312"/>
          <w:sz w:val="28"/>
          <w:szCs w:val="32"/>
        </w:rPr>
        <w:t>与宣传工作。</w:t>
      </w:r>
    </w:p>
    <w:p>
      <w:pPr>
        <w:numPr>
          <w:ilvl w:val="0"/>
          <w:numId w:val="3"/>
        </w:numPr>
        <w:spacing w:line="584" w:lineRule="exact"/>
        <w:ind w:left="709" w:hanging="70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7月-9月，分批次发放奖励金。</w:t>
      </w:r>
    </w:p>
    <w:p>
      <w:pPr>
        <w:spacing w:line="584" w:lineRule="exact"/>
        <w:jc w:val="left"/>
        <w:rPr>
          <w:rFonts w:ascii="仿宋" w:hAnsi="仿宋" w:eastAsia="仿宋"/>
          <w:sz w:val="24"/>
          <w:szCs w:val="28"/>
        </w:rPr>
      </w:pPr>
    </w:p>
    <w:p>
      <w:pPr>
        <w:pStyle w:val="4"/>
        <w:numPr>
          <w:ilvl w:val="0"/>
          <w:numId w:val="1"/>
        </w:numPr>
        <w:spacing w:line="584" w:lineRule="exact"/>
        <w:ind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其他说明</w:t>
      </w:r>
    </w:p>
    <w:p>
      <w:pPr>
        <w:spacing w:line="584" w:lineRule="exact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（一）已获得录用通知、非本人原因无法及时落实协议书鉴证的，申请人需提供用人单位录用函、关于推迟签约的说明等证明材料，同时在同济大学就业网提交毕业去向登记。</w:t>
      </w:r>
    </w:p>
    <w:p>
      <w:pPr>
        <w:spacing w:line="584" w:lineRule="exact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（二）若申请人在评选表彰期间发生违约，则取消其参评资格；若在获奖当年发生违约的，取消获奖资格、退还奖金。</w:t>
      </w:r>
    </w:p>
    <w:p>
      <w:pPr>
        <w:spacing w:line="584" w:lineRule="exact"/>
        <w:jc w:val="left"/>
        <w:rPr>
          <w:rFonts w:ascii="仿宋" w:hAnsi="仿宋" w:eastAsia="仿宋"/>
          <w:sz w:val="24"/>
          <w:szCs w:val="28"/>
        </w:rPr>
      </w:pPr>
    </w:p>
    <w:p>
      <w:pPr>
        <w:spacing w:line="584" w:lineRule="exact"/>
        <w:ind w:firstLine="560" w:firstLineChars="200"/>
        <w:jc w:val="left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附件：1.同济大学毕业生“扬帆奖”申请表</w:t>
      </w:r>
    </w:p>
    <w:p>
      <w:pPr>
        <w:spacing w:line="584" w:lineRule="exact"/>
        <w:ind w:firstLine="1400" w:firstLineChars="500"/>
        <w:jc w:val="left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2.基层就业范围</w:t>
      </w:r>
    </w:p>
    <w:p>
      <w:pPr>
        <w:spacing w:line="584" w:lineRule="exact"/>
        <w:ind w:firstLine="1400" w:firstLineChars="500"/>
        <w:jc w:val="left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3.同济大学“青松计划”的就业引导范围</w:t>
      </w:r>
    </w:p>
    <w:p>
      <w:pPr>
        <w:spacing w:line="584" w:lineRule="exact"/>
        <w:ind w:right="280"/>
        <w:jc w:val="right"/>
        <w:rPr>
          <w:rFonts w:ascii="仿宋_GB2312" w:hAnsi="宋体" w:eastAsia="仿宋_GB2312"/>
          <w:sz w:val="28"/>
          <w:szCs w:val="32"/>
        </w:rPr>
      </w:pPr>
    </w:p>
    <w:p>
      <w:pPr>
        <w:spacing w:line="584" w:lineRule="exact"/>
        <w:ind w:right="280"/>
        <w:jc w:val="right"/>
        <w:rPr>
          <w:rFonts w:ascii="仿宋" w:hAnsi="仿宋" w:eastAsia="仿宋"/>
          <w:sz w:val="24"/>
          <w:szCs w:val="28"/>
        </w:rPr>
      </w:pPr>
    </w:p>
    <w:p>
      <w:pPr>
        <w:wordWrap w:val="0"/>
        <w:spacing w:line="584" w:lineRule="exact"/>
        <w:jc w:val="right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 xml:space="preserve">同济大学学生就业指导中心 </w:t>
      </w:r>
    </w:p>
    <w:p>
      <w:pPr>
        <w:wordWrap w:val="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 xml:space="preserve"> 2020年6月3日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pacing w:line="584" w:lineRule="exact"/>
        <w:jc w:val="left"/>
        <w:rPr>
          <w:rFonts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附件1.</w:t>
      </w:r>
    </w:p>
    <w:p>
      <w:pPr>
        <w:spacing w:line="584" w:lineRule="exact"/>
        <w:jc w:val="left"/>
        <w:rPr>
          <w:rFonts w:ascii="黑体" w:hAnsi="黑体" w:eastAsia="黑体"/>
          <w:sz w:val="24"/>
          <w:szCs w:val="28"/>
        </w:rPr>
      </w:pPr>
    </w:p>
    <w:p>
      <w:pPr>
        <w:spacing w:line="584" w:lineRule="exact"/>
        <w:jc w:val="center"/>
        <w:rPr>
          <w:rFonts w:ascii="方正小标宋简体" w:hAnsi="宋体" w:eastAsia="方正小标宋简体"/>
          <w:sz w:val="36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同济大学“扬帆奖”申请表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72"/>
        <w:gridCol w:w="1701"/>
        <w:gridCol w:w="1417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省市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（着重说明：个人的择业过程、关于职业选择的思考，对工作环境、岗位的认知与规划等，可附页，1000字以内）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申请人签名：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推荐授予“扬帆奖”（□特等奖 □一等奖  □二等奖  □三等奖）奖励。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推荐理由：</w:t>
            </w:r>
          </w:p>
          <w:p>
            <w:pPr>
              <w:spacing w:line="460" w:lineRule="exact"/>
              <w:ind w:right="472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 w:firstLine="3784" w:firstLineChars="1577"/>
              <w:rPr>
                <w:rFonts w:ascii="仿宋_GB2312" w:hAnsi="宋体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right="472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学院负责人签字：               学院公章：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同意授予“扬帆奖”（□特等奖 □一等奖  □二等奖  □三等奖）奖励。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</w:t>
            </w:r>
          </w:p>
          <w:p>
            <w:pPr>
              <w:spacing w:line="460" w:lineRule="exact"/>
              <w:ind w:right="42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            签字（盖章）：            </w:t>
            </w:r>
          </w:p>
        </w:tc>
      </w:tr>
    </w:tbl>
    <w:p>
      <w:pPr>
        <w:spacing w:line="360" w:lineRule="auto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附件2.</w:t>
      </w:r>
    </w:p>
    <w:p>
      <w:pPr>
        <w:spacing w:line="360" w:lineRule="auto"/>
        <w:rPr>
          <w:rFonts w:ascii="黑体" w:hAnsi="黑体" w:eastAsia="黑体"/>
          <w:sz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基层就业范围</w:t>
      </w:r>
    </w:p>
    <w:p>
      <w:pPr>
        <w:spacing w:line="360" w:lineRule="auto"/>
        <w:ind w:left="424" w:leftChars="202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在高校毕业生就业方案数据库中，县及县以下党政机关、事业单位和社会团体组织；艰苦行业事业单位；中小企业；艰苦行业企业；部队；国家基层项目；地方基层项目；城镇社区、自主创业、自由职业、其他灵活就业列为基层就业的范畴。</w:t>
      </w:r>
    </w:p>
    <w:p>
      <w:pPr>
        <w:spacing w:line="360" w:lineRule="auto"/>
        <w:ind w:left="424" w:leftChars="202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属于基层就业的用人单位具体</w:t>
      </w:r>
      <w:r>
        <w:rPr>
          <w:rFonts w:hint="eastAsia" w:ascii="仿宋_GB2312" w:hAnsi="宋体" w:eastAsia="仿宋_GB2312"/>
          <w:sz w:val="32"/>
          <w:szCs w:val="32"/>
        </w:rPr>
        <w:t>包括</w:t>
      </w:r>
      <w:r>
        <w:rPr>
          <w:rFonts w:ascii="仿宋_GB2312" w:hAnsi="宋体" w:eastAsia="仿宋_GB2312"/>
          <w:sz w:val="32"/>
          <w:szCs w:val="32"/>
        </w:rPr>
        <w:t>：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县及县以下党政机关、事业单位以及社会社团组织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艰苦行业事业单位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中小型企业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艰苦行业企业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部队用人单位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“三支一扶”计划项目单位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自主创业、自由职业以及其他灵活就业企业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br w:type="page"/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附件3.</w:t>
      </w:r>
    </w:p>
    <w:p>
      <w:pPr>
        <w:rPr>
          <w:rFonts w:ascii="黑体" w:hAnsi="黑体" w:eastAsia="黑体"/>
          <w:sz w:val="32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同济大学“青松计划”就业引导范围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“重点区域”包括：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1.西部地区：西藏自治区、内蒙古自治区、广西壮族自治区、重庆市、四川省、贵州省、云南省、陕西省、甘肃省、青海省、宁夏回族自治区、新疆维吾尔自治区12个省（自治区、直辖市）。</w:t>
      </w:r>
    </w:p>
    <w:p>
      <w:pPr>
        <w:spacing w:line="360" w:lineRule="auto"/>
        <w:ind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2.中部地区：山西省、安徽省、江西省、河北省、河南省、湖北省、湖南省、海南省等8个省。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3.东北地区：黑龙江省、吉林省、辽宁省等3个省。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“重点岗位”包括：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县以下机关、企事业单位。具体包括乡（镇）政府机关、农村中小学、国有农（牧、林）场、水电施工基地、农业技术推广站、畜牧兽医站、乡镇卫生院、计划生育服务站、乡镇文化站、乡镇劳动就业服务站等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2.工作现场地处中西部地区及艰苦边远地区气象、地震、地质、水电施工、煤炭、石油、航海、核工业等中央单位艰苦行业生产第一线岗位。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三、“重点单位”包括： 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重要行业和关键领域、基础性和支柱产业的国有企业；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重要民营企业；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国家“双一流”建设高校；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省部级及以上科研设计机构；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党政机关（含机关直属事业单位）；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主流媒体；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重要金融机构；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重要医疗机构；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部队；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专业服务机构；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国际组织；</w:t>
      </w:r>
    </w:p>
    <w:p>
      <w:pPr>
        <w:numPr>
          <w:ilvl w:val="0"/>
          <w:numId w:val="6"/>
        </w:num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战略性新兴行业领先</w:t>
      </w:r>
      <w:r>
        <w:rPr>
          <w:rFonts w:ascii="仿宋_GB2312" w:hAnsi="宋体" w:eastAsia="仿宋_GB2312"/>
          <w:sz w:val="32"/>
          <w:szCs w:val="32"/>
        </w:rPr>
        <w:t>企业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rPr>
          <w:rFonts w:ascii="仿宋_GB2312" w:hAnsi="宋体" w:eastAsia="仿宋_GB2312"/>
          <w:szCs w:val="32"/>
        </w:rPr>
      </w:pPr>
    </w:p>
    <w:p/>
    <w:p/>
    <w:p/>
    <w:p/>
    <w:p/>
    <w:p/>
    <w:p/>
    <w:p/>
    <w:p/>
    <w:p/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751"/>
    <w:multiLevelType w:val="multilevel"/>
    <w:tmpl w:val="062C675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812F5"/>
    <w:multiLevelType w:val="multilevel"/>
    <w:tmpl w:val="155812F5"/>
    <w:lvl w:ilvl="0" w:tentative="0">
      <w:start w:val="1"/>
      <w:numFmt w:val="chineseCountingThousand"/>
      <w:lvlText w:val="(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0575ED"/>
    <w:multiLevelType w:val="multilevel"/>
    <w:tmpl w:val="3B0575ED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3528B1"/>
    <w:multiLevelType w:val="multilevel"/>
    <w:tmpl w:val="4A3528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7D3533"/>
    <w:multiLevelType w:val="multilevel"/>
    <w:tmpl w:val="567D353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5949D5"/>
    <w:multiLevelType w:val="multilevel"/>
    <w:tmpl w:val="7F5949D5"/>
    <w:lvl w:ilvl="0" w:tentative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85D85"/>
    <w:rsid w:val="0D156E14"/>
    <w:rsid w:val="23385D85"/>
    <w:rsid w:val="7D6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2020-06-03T09:12:00Z</dcterms:created>
  <dc:creator>李伟伟</dc:creator>
  <cp:lastModifiedBy>李伟伟</cp:lastModifiedBy>
  <dcterms:modified xsi:type="dcterms:W3CDTF">2020-06-03T09:23:01Z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